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Inter" w:cs="Inter" w:eastAsia="Inter" w:hAnsi="Inter"/>
          <w:b/>
          <w:bCs/>
          <w:color w:val="AA5144"/>
          <w:spacing w:val="30"/>
          <w:sz w:val="16"/>
          <w:szCs w:val="16"/>
        </w:rPr>
        <w:t xml:space="preserve">AUDIT SHEET</w:t>
      </w:r>
    </w:p>
    <w:p>
      <w:pPr>
        <w:pStyle w:val="Title"/>
        <w:spacing w:after="20"/>
      </w:pPr>
      <w:r>
        <w:rPr>
          <w:rFonts w:ascii="Raleway" w:cs="Raleway" w:eastAsia="Raleway" w:hAnsi="Raleway"/>
          <w:b/>
          <w:bCs/>
          <w:color w:val="162B39"/>
          <w:sz w:val="44"/>
          <w:szCs w:val="44"/>
        </w:rPr>
        <w:t xml:space="preserve">Dark patterns</w:t>
      </w:r>
    </w:p>
    <w:p>
      <w:pPr>
        <w:pBdr>
          <w:bottom w:val="single" w:color="1D3648" w:sz="16" w:space="8"/>
        </w:pBdr>
        <w:spacing w:after="200"/>
      </w:pPr>
      <w:r>
        <w:rPr>
          <w:rFonts w:ascii="Inter" w:cs="Inter" w:eastAsia="Inter" w:hAnsi="Inter"/>
          <w:color w:val="5B6975"/>
          <w:sz w:val="21"/>
          <w:szCs w:val="21"/>
        </w:rPr>
        <w:t xml:space="preserve">Hoja de auditoría de patrones oscuros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70"/>
        <w:gridCol w:w="7244"/>
      </w:tblGrid>
      <w:tr>
        <w:trPr>
          <w:tblHeader/>
        </w:trPr>
        <w:tc>
          <w:tcPr>
            <w:tcW w:type="dxa" w:w="207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Item</w:t>
            </w:r>
          </w:p>
        </w:tc>
        <w:tc>
          <w:tcPr>
            <w:tcW w:type="dxa" w:w="724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r>
      <w:tr>
        <w:trPr>
          <w:tblHeader w:val="false"/>
        </w:trPr>
        <w:tc>
          <w:tcPr>
            <w:tcW w:type="dxa" w:w="20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Site or product</w:t>
            </w:r>
          </w:p>
        </w:tc>
        <w:tc>
          <w:tcPr>
            <w:tcW w:type="dxa" w:w="72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0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Auditor</w:t>
            </w:r>
          </w:p>
        </w:tc>
        <w:tc>
          <w:tcPr>
            <w:tcW w:type="dxa" w:w="72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0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Date of the first visit</w:t>
            </w:r>
          </w:p>
        </w:tc>
        <w:tc>
          <w:tcPr>
            <w:tcW w:type="dxa" w:w="72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07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Dates of the follow-up visits</w:t>
            </w:r>
          </w:p>
        </w:tc>
        <w:tc>
          <w:tcPr>
            <w:tcW w:type="dxa" w:w="724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Before you start</w:t>
      </w:r>
    </w:p>
    <w:p>
      <w:pPr>
        <w:pStyle w:val="ListParagraph"/>
        <w:numPr>
          <w:ilvl w:val="0"/>
          <w:numId w:val="1"/>
        </w:numPr>
        <w:spacing w:after="80" w:line="360"/>
      </w:pPr>
      <w:r>
        <w:rPr>
          <w:rFonts w:ascii="Inter" w:cs="Inter" w:eastAsia="Inter" w:hAnsi="Inter"/>
          <w:b/>
          <w:bCs/>
          <w:color w:val="162B39"/>
          <w:sz w:val="22"/>
          <w:szCs w:val="22"/>
        </w:rPr>
        <w:t xml:space="preserve">Being present is not the same as deceiving.</w:t>
      </w:r>
      <w:r>
        <w:rPr>
          <w:rFonts w:ascii="Inter" w:cs="Inter" w:eastAsia="Inter" w:hAnsi="Inter"/>
          <w:color w:val="4D4D4D"/>
          <w:sz w:val="22"/>
          <w:szCs w:val="22"/>
        </w:rPr>
        <w:t xml:space="preserve"> First record whether the pattern appears; proving that it deceives usually means coming back another day.</w:t>
      </w:r>
    </w:p>
    <w:p>
      <w:pPr>
        <w:pStyle w:val="ListParagraph"/>
        <w:numPr>
          <w:ilvl w:val="0"/>
          <w:numId w:val="1"/>
        </w:numPr>
        <w:spacing w:after="80" w:line="360"/>
      </w:pPr>
      <w:r>
        <w:rPr>
          <w:rFonts w:ascii="Inter" w:cs="Inter" w:eastAsia="Inter" w:hAnsi="Inter"/>
          <w:b/>
          <w:bCs/>
          <w:color w:val="162B39"/>
          <w:sz w:val="22"/>
          <w:szCs w:val="22"/>
        </w:rPr>
        <w:t xml:space="preserve">Look beyond the screen:</w:t>
      </w:r>
      <w:r>
        <w:rPr>
          <w:rFonts w:ascii="Inter" w:cs="Inter" w:eastAsia="Inter" w:hAnsi="Inter"/>
          <w:color w:val="4D4D4D"/>
          <w:sz w:val="22"/>
          <w:szCs w:val="22"/>
        </w:rPr>
        <w:t xml:space="preserve"> the page source, the terms and conditions, and the whole flow (what triggers a modal, what happens when you try to undo something).</w:t>
      </w:r>
    </w:p>
    <w:p>
      <w:pPr>
        <w:pStyle w:val="ListParagraph"/>
        <w:numPr>
          <w:ilvl w:val="0"/>
          <w:numId w:val="1"/>
        </w:numPr>
        <w:spacing w:after="80" w:line="360"/>
      </w:pPr>
      <w:r>
        <w:rPr>
          <w:rFonts w:ascii="Inter" w:cs="Inter" w:eastAsia="Inter" w:hAnsi="Inter"/>
          <w:b/>
          <w:bCs/>
          <w:color w:val="162B39"/>
          <w:sz w:val="22"/>
          <w:szCs w:val="22"/>
        </w:rPr>
        <w:t xml:space="preserve">A phrase match is a signal to look closer, not proof.</w:t>
      </w:r>
    </w:p>
    <w:p>
      <w:pPr>
        <w:pStyle w:val="ListParagraph"/>
        <w:numPr>
          <w:ilvl w:val="0"/>
          <w:numId w:val="1"/>
        </w:numPr>
        <w:spacing w:after="80" w:line="360"/>
      </w:pPr>
      <w:r>
        <w:rPr>
          <w:rFonts w:ascii="Inter" w:cs="Inter" w:eastAsia="Inter" w:hAnsi="Inter"/>
          <w:color w:val="4D4D4D"/>
          <w:sz w:val="22"/>
          <w:szCs w:val="22"/>
        </w:rPr>
        <w:t xml:space="preserve">If in doubt, mark it </w:t>
      </w:r>
      <w:r>
        <w:rPr>
          <w:rFonts w:ascii="Inter" w:cs="Inter" w:eastAsia="Inter" w:hAnsi="Inter"/>
          <w:b/>
          <w:bCs/>
          <w:color w:val="162B39"/>
          <w:sz w:val="22"/>
          <w:szCs w:val="22"/>
        </w:rPr>
        <w:t xml:space="preserve">grey</w:t>
      </w:r>
      <w:r>
        <w:rPr>
          <w:rFonts w:ascii="Inter" w:cs="Inter" w:eastAsia="Inter" w:hAnsi="Inter"/>
          <w:color w:val="4D4D4D"/>
          <w:sz w:val="22"/>
          <w:szCs w:val="22"/>
        </w:rPr>
        <w:t xml:space="preserve">. If your report mentions a psychological bias, present it as a hypothesis with its source.</w:t>
      </w:r>
    </w:p>
    <w:p>
      <w:pPr>
        <w:spacing w:after="160" w:line="360"/>
      </w:pPr>
      <w:r>
        <w:rPr>
          <w:rFonts w:ascii="Inter" w:cs="Inter" w:eastAsia="Inter" w:hAnsi="Inter"/>
          <w:color w:val="4D4D4D"/>
          <w:sz w:val="22"/>
          <w:szCs w:val="22"/>
        </w:rPr>
        <w:t xml:space="preserve">The full guide, with the evidence for each pattern: </w:t>
      </w:r>
      <w:hyperlink w:history="1" r:id="rIduwd20i5whw1cdfftre6lu">
        <w:r>
          <w:rPr>
            <w:rFonts w:ascii="Inter" w:cs="Inter" w:eastAsia="Inter" w:hAnsi="Inter"/>
            <w:color w:val="AA5144"/>
            <w:sz w:val="22"/>
            <w:szCs w:val="22"/>
            <w:u w:val="single"/>
          </w:rPr>
          <w:t xml:space="preserve">https://uxr.cl/en/learn/dark-patterns/</w:t>
        </w:r>
      </w:hyperlink>
    </w:p>
    <w:p>
      <w:pPr>
        <w:pStyle w:val="Heading2"/>
        <w:keepNext/>
        <w:spacing w:after="120" w:before="320"/>
      </w:pPr>
      <w:r>
        <w:rPr>
          <w:rFonts w:ascii="Raleway" w:cs="Raleway" w:eastAsia="Raleway" w:hAnsi="Raleway"/>
          <w:b/>
          <w:bCs/>
          <w:color w:val="1D3648"/>
          <w:sz w:val="32"/>
          <w:szCs w:val="32"/>
        </w:rPr>
        <w:t xml:space="preserve">Summary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9"/>
        <w:gridCol w:w="1899"/>
        <w:gridCol w:w="2587"/>
        <w:gridCol w:w="2509"/>
      </w:tblGrid>
      <w:tr>
        <w:trPr>
          <w:tblHeader/>
        </w:trPr>
        <w:tc>
          <w:tcPr>
            <w:tcW w:type="dxa" w:w="231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Pattern</w:t>
            </w:r>
          </w:p>
        </w:tc>
        <w:tc>
          <w:tcPr>
            <w:tcW w:type="dxa" w:w="189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Strategy</w:t>
            </w:r>
          </w:p>
        </w:tc>
        <w:tc>
          <w:tcPr>
            <w:tcW w:type="dxa" w:w="2587"/>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Present? (yes / no / grey)</w:t>
            </w:r>
          </w:p>
        </w:tc>
        <w:tc>
          <w:tcPr>
            <w:tcW w:type="dxa" w:w="2509"/>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Proven to deceive?</w:t>
            </w: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Sneak into basket</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Sneaking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Drip pricing or hidden costs</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Sneaking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Roach motel</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Obstruction</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Price comparison prevention</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Obstruction</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Visual interference</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Interface interference</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Trick questions</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Interface interference</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Pressured selling</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Interface interference</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registration</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action</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continuity or hidden subscription</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Forced action</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Countdown timer</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Limited-time message</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Low-stock message</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High-demand message</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Activity messages</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Testimonials of uncertain origin</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r>
        <w:trPr>
          <w:tblHeader w:val="false"/>
        </w:trPr>
        <w:tc>
          <w:tcPr>
            <w:tcW w:type="dxa" w:w="231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Confirmshaming</w:t>
            </w:r>
          </w:p>
        </w:tc>
        <w:tc>
          <w:tcPr>
            <w:tcW w:type="dxa" w:w="189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Social engineering</w:t>
            </w:r>
          </w:p>
        </w:tc>
        <w:tc>
          <w:tcPr>
            <w:tcW w:type="dxa" w:w="2587"/>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c>
          <w:tcPr>
            <w:tcW w:type="dxa" w:w="2509"/>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p>
        </w:tc>
      </w:tr>
    </w:tbl>
    <w:p>
      <w:pPr>
        <w:spacing w:after="160"/>
      </w:pPr>
    </w:p>
    <w:p>
      <w:pPr>
        <w:pStyle w:val="Heading2"/>
        <w:keepNext/>
        <w:spacing w:after="120" w:before="320"/>
      </w:pPr>
      <w:r>
        <w:rPr>
          <w:rFonts w:ascii="Raleway" w:cs="Raleway" w:eastAsia="Raleway" w:hAnsi="Raleway"/>
          <w:b/>
          <w:bCs/>
          <w:color w:val="1D3648"/>
          <w:sz w:val="32"/>
          <w:szCs w:val="32"/>
        </w:rPr>
        <w:t xml:space="preserve">Patterns</w:t>
      </w:r>
    </w:p>
    <w:p>
      <w:pPr>
        <w:pStyle w:val="Heading2"/>
        <w:keepNext/>
        <w:spacing w:after="120" w:before="320"/>
      </w:pPr>
      <w:r>
        <w:rPr>
          <w:rFonts w:ascii="Raleway" w:cs="Raleway" w:eastAsia="Raleway" w:hAnsi="Raleway"/>
          <w:b/>
          <w:bCs/>
          <w:color w:val="1D3648"/>
          <w:sz w:val="32"/>
          <w:szCs w:val="32"/>
        </w:rPr>
        <w:t xml:space="preserve">Sneaking</w:t>
      </w:r>
    </w:p>
    <w:p>
      <w:pPr>
        <w:pStyle w:val="Heading3"/>
        <w:keepNext/>
        <w:spacing w:after="100" w:before="240"/>
      </w:pPr>
      <w:r>
        <w:rPr>
          <w:rFonts w:ascii="Raleway" w:cs="Raleway" w:eastAsia="Raleway" w:hAnsi="Raleway"/>
          <w:b/>
          <w:bCs/>
          <w:color w:val="162B39"/>
          <w:sz w:val="24"/>
          <w:szCs w:val="24"/>
        </w:rPr>
        <w:t xml:space="preserve">Sneak into basket</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A product or service in the cart that you did not add: a greeting card next to a bouquet of flowers, an insurance plan next to a laptop (Mathur et al., 2019, p. 13).</w:t>
      </w:r>
    </w:p>
    <w:p>
      <w:pPr>
        <w:pStyle w:val="ListParagraph"/>
        <w:numPr>
          <w:ilvl w:val="0"/>
          <w:numId w:val="1"/>
        </w:numPr>
        <w:spacing w:after="80" w:line="360"/>
      </w:pPr>
      <w:r>
        <w:rPr>
          <w:rFonts w:ascii="Inter" w:cs="Inter" w:eastAsia="Inter" w:hAnsi="Inter"/>
          <w:color w:val="4D4D4D"/>
          <w:sz w:val="22"/>
          <w:szCs w:val="22"/>
        </w:rPr>
        <w:t xml:space="preserve">Checkboxes, already ticked on an earlier step, that add something to the order (Mathur et al., p. 13).</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Add a single product and read the cart line by line before paying. Go back through the previous steps and look for ticked boxes you did not tick.</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Drip pricing or hidden costs (</w:t>
      </w:r>
      <w:r>
        <w:rPr>
          <w:rFonts w:ascii="Raleway" w:cs="Raleway" w:eastAsia="Raleway" w:hAnsi="Raleway"/>
          <w:b/>
          <w:bCs/>
          <w:i/>
          <w:iCs/>
          <w:color w:val="162B39"/>
          <w:sz w:val="24"/>
          <w:szCs w:val="24"/>
        </w:rPr>
        <w:t xml:space="preserve">drip pricing</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Charges that appear on the last step: “service fee”, “handling fee”, delivery, tip (Mathur et al., 2019, p. 13; SERNAC, 2021, p. 27).</w:t>
      </w:r>
    </w:p>
    <w:p>
      <w:pPr>
        <w:pStyle w:val="ListParagraph"/>
        <w:numPr>
          <w:ilvl w:val="0"/>
          <w:numId w:val="1"/>
        </w:numPr>
        <w:spacing w:after="80" w:line="360"/>
      </w:pPr>
      <w:r>
        <w:rPr>
          <w:rFonts w:ascii="Inter" w:cs="Inter" w:eastAsia="Inter" w:hAnsi="Inter"/>
          <w:color w:val="4D4D4D"/>
          <w:sz w:val="22"/>
          <w:szCs w:val="22"/>
        </w:rPr>
        <w:t xml:space="preserve">A package price that changes when you confirm, with no explanation (SERNAC, p. 28).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Write down the price shown on the product page and compare it with the total on the last step before paying. Every difference should have been disclosed from the start.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Obstruction</w:t>
      </w:r>
    </w:p>
    <w:p>
      <w:pPr>
        <w:pStyle w:val="Heading3"/>
        <w:keepNext/>
        <w:spacing w:after="100" w:before="240"/>
      </w:pPr>
      <w:r>
        <w:rPr>
          <w:rFonts w:ascii="Raleway" w:cs="Raleway" w:eastAsia="Raleway" w:hAnsi="Raleway"/>
          <w:b/>
          <w:bCs/>
          <w:color w:val="162B39"/>
          <w:sz w:val="24"/>
          <w:szCs w:val="24"/>
        </w:rPr>
        <w:t xml:space="preserve">Roach motel</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You subscribe or sign up on the website, but there is no button to cancel or to delete the account.</w:t>
      </w:r>
    </w:p>
    <w:p>
      <w:pPr>
        <w:pStyle w:val="ListParagraph"/>
        <w:numPr>
          <w:ilvl w:val="0"/>
          <w:numId w:val="1"/>
        </w:numPr>
        <w:spacing w:after="80" w:line="360"/>
      </w:pPr>
      <w:r>
        <w:rPr>
          <w:rFonts w:ascii="Inter" w:cs="Inter" w:eastAsia="Inter" w:hAnsi="Inter"/>
          <w:color w:val="4D4D4D"/>
          <w:sz w:val="22"/>
          <w:szCs w:val="22"/>
        </w:rPr>
        <w:t xml:space="preserve">The only option offered is to “pause” the membership, not cancel it. Chen et al. labelled this as forced action (2026, p. 8); for an auditor the symptom is the same: there is no way out.</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Compare the two paths: how many steps and which channel it takes to sign up, and how many it takes to leave. If you cannot find how to leave in the interface, look in the terms and conditions: that is often where “by phone only” lives (Mathur et al., 2019, p. 21; SERNAC, 2021, p. 30).</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Price comparison prevention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Similar products with different specifications and different discounts at the same time, which cannot be put side by side (SERNAC, 2021, p. 24).</w:t>
      </w:r>
    </w:p>
    <w:p>
      <w:pPr>
        <w:pStyle w:val="ListParagraph"/>
        <w:numPr>
          <w:ilvl w:val="0"/>
          <w:numId w:val="1"/>
        </w:numPr>
        <w:spacing w:after="80" w:line="360"/>
      </w:pPr>
      <w:r>
        <w:rPr>
          <w:rFonts w:ascii="Inter" w:cs="Inter" w:eastAsia="Inter" w:hAnsi="Inter"/>
          <w:color w:val="4D4D4D"/>
          <w:sz w:val="22"/>
          <w:szCs w:val="22"/>
        </w:rPr>
        <w:t xml:space="preserve">A “from” price in the listing that always belongs to the cheapest option, with many variants at different prices once you open it (SERNAC, p. 24).</w:t>
      </w:r>
    </w:p>
    <w:p>
      <w:pPr>
        <w:pStyle w:val="ListParagraph"/>
        <w:numPr>
          <w:ilvl w:val="0"/>
          <w:numId w:val="1"/>
        </w:numPr>
        <w:spacing w:after="80" w:line="360"/>
      </w:pPr>
      <w:r>
        <w:rPr>
          <w:rFonts w:ascii="Inter" w:cs="Inter" w:eastAsia="Inter" w:hAnsi="Inter"/>
          <w:color w:val="4D4D4D"/>
          <w:sz w:val="22"/>
          <w:szCs w:val="22"/>
        </w:rPr>
        <w:t xml:space="preserve">Text that cannot be copied (Gray et al., p. 17).</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Try to compare two equivalent options. If you have to take notes by hand, open each one or work out unit prices to do it, there is a barrier. Whether the barrier is deliberate cannot be proven from the outside; record it as a finding with that caveat.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Interface interference</w:t>
      </w:r>
    </w:p>
    <w:p>
      <w:pPr>
        <w:pStyle w:val="Heading3"/>
        <w:keepNext/>
        <w:spacing w:after="100" w:before="240"/>
      </w:pPr>
      <w:r>
        <w:rPr>
          <w:rFonts w:ascii="Raleway" w:cs="Raleway" w:eastAsia="Raleway" w:hAnsi="Raleway"/>
          <w:b/>
          <w:bCs/>
          <w:color w:val="162B39"/>
          <w:sz w:val="24"/>
          <w:szCs w:val="24"/>
        </w:rPr>
        <w:t xml:space="preserve">Visual interference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The button that suits the company is large and colored; the alternative is gray or a plain text link (SERNAC, 2021, p. 22).</w:t>
      </w:r>
    </w:p>
    <w:p>
      <w:pPr>
        <w:pStyle w:val="ListParagraph"/>
        <w:numPr>
          <w:ilvl w:val="0"/>
          <w:numId w:val="1"/>
        </w:numPr>
        <w:spacing w:after="80" w:line="360"/>
      </w:pPr>
      <w:r>
        <w:rPr>
          <w:rFonts w:ascii="Inter" w:cs="Inter" w:eastAsia="Inter" w:hAnsi="Inter"/>
          <w:color w:val="4D4D4D"/>
          <w:sz w:val="22"/>
          <w:szCs w:val="22"/>
        </w:rPr>
        <w:t xml:space="preserve">An option that looks disabled but can be clicked (Mathur et al., 2019, p. 17).</w:t>
      </w:r>
    </w:p>
    <w:p>
      <w:pPr>
        <w:pStyle w:val="ListParagraph"/>
        <w:numPr>
          <w:ilvl w:val="0"/>
          <w:numId w:val="1"/>
        </w:numPr>
        <w:spacing w:after="80" w:line="360"/>
      </w:pPr>
      <w:r>
        <w:rPr>
          <w:rFonts w:ascii="Inter" w:cs="Inter" w:eastAsia="Inter" w:hAnsi="Inter"/>
          <w:color w:val="4D4D4D"/>
          <w:sz w:val="22"/>
          <w:szCs w:val="22"/>
        </w:rPr>
        <w:t xml:space="preserve">A discount inflated by adding in the value of a “free gift” (Mathur et al., p. 17).</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Compare the options within the same decision: size, color, contrast and position. If one looks disabled, click it.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Trick questions</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“Uncheck the box if you prefer not to receive email updates” (Mathur et al., 2019, p. 17).</w:t>
      </w:r>
    </w:p>
    <w:p>
      <w:pPr>
        <w:pStyle w:val="ListParagraph"/>
        <w:numPr>
          <w:ilvl w:val="0"/>
          <w:numId w:val="1"/>
        </w:numPr>
        <w:spacing w:after="80" w:line="360"/>
      </w:pPr>
      <w:r>
        <w:rPr>
          <w:rFonts w:ascii="Inter" w:cs="Inter" w:eastAsia="Inter" w:hAnsi="Inter"/>
          <w:color w:val="4D4D4D"/>
          <w:sz w:val="22"/>
          <w:szCs w:val="22"/>
        </w:rPr>
        <w:t xml:space="preserve">A box for NOT receiving communications whose text opens by stating the opposite: “We would like to send you emails. If you do not wish…” (Mathur et al., p. 17).</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Read every checkbox out loud and ask what happens if you tick it and what happens if you don't. Mathur et al. only count as a trick question an opt-out box that opens with an affirmative statement. Those that open by offering the opt-out (“Tick here to opt out of…”) are recorded separately, as concerning but not deceptive (note 9, p. 17).</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Pressured selling</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The most expensive option selected by default: the largest bouquet, the top plan (Mathur et al., 2019, p. 18).</w:t>
      </w:r>
    </w:p>
    <w:p>
      <w:pPr>
        <w:pStyle w:val="ListParagraph"/>
        <w:numPr>
          <w:ilvl w:val="0"/>
          <w:numId w:val="1"/>
        </w:numPr>
        <w:spacing w:after="80" w:line="360"/>
      </w:pPr>
      <w:r>
        <w:rPr>
          <w:rFonts w:ascii="Inter" w:cs="Inter" w:eastAsia="Inter" w:hAnsi="Inter"/>
          <w:color w:val="4D4D4D"/>
          <w:sz w:val="22"/>
          <w:szCs w:val="22"/>
        </w:rPr>
        <w:t xml:space="preserve">Pop-ups that, when you add something to the cart, offer “hot sellers” or “deals” and have to be closed before you can continue (Mathur et al., p. 18).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Check which variant is selected when you open the product page. If it is the most expensive one, note it. Also check whether a pop-up interrupts the way to the cart.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Forced action</w:t>
      </w:r>
    </w:p>
    <w:p>
      <w:pPr>
        <w:pStyle w:val="Heading3"/>
        <w:keepNext/>
        <w:spacing w:after="100" w:before="240"/>
      </w:pPr>
      <w:r>
        <w:rPr>
          <w:rFonts w:ascii="Raleway" w:cs="Raleway" w:eastAsia="Raleway" w:hAnsi="Raleway"/>
          <w:b/>
          <w:bCs/>
          <w:color w:val="162B39"/>
          <w:sz w:val="24"/>
          <w:szCs w:val="24"/>
        </w:rPr>
        <w:t xml:space="preserve">Forced registration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“Debes registrarte para continuar tu compra” (“You must sign up to continue your purchase”), with no guest checkout (SERNAC, 2021, p. 17).</w:t>
      </w:r>
    </w:p>
    <w:p>
      <w:pPr>
        <w:pStyle w:val="ListParagraph"/>
        <w:numPr>
          <w:ilvl w:val="0"/>
          <w:numId w:val="1"/>
        </w:numPr>
        <w:spacing w:after="80" w:line="360"/>
      </w:pPr>
      <w:r>
        <w:rPr>
          <w:rFonts w:ascii="Inter" w:cs="Inter" w:eastAsia="Inter" w:hAnsi="Inter"/>
          <w:color w:val="4D4D4D"/>
          <w:sz w:val="22"/>
          <w:szCs w:val="22"/>
        </w:rPr>
        <w:t xml:space="preserve">A sign-up window that appears when you add to cart or after browsing for a while, with no close button (Chen et al., 2026, p. 8).</w:t>
      </w:r>
    </w:p>
    <w:p>
      <w:pPr>
        <w:pStyle w:val="ListParagraph"/>
        <w:numPr>
          <w:ilvl w:val="0"/>
          <w:numId w:val="1"/>
        </w:numPr>
        <w:spacing w:after="80" w:line="360"/>
      </w:pPr>
      <w:r>
        <w:rPr>
          <w:rFonts w:ascii="Inter" w:cs="Inter" w:eastAsia="Inter" w:hAnsi="Inter"/>
          <w:color w:val="4D4D4D"/>
          <w:sz w:val="22"/>
          <w:szCs w:val="22"/>
        </w:rPr>
        <w:t xml:space="preserve">A single checkbox that bundles accepting the terms with agreeing to receive marketing (Mathur et al., 2019, p. 22).</w:t>
      </w:r>
    </w:p>
    <w:p>
      <w:pPr>
        <w:pStyle w:val="ListParagraph"/>
        <w:numPr>
          <w:ilvl w:val="0"/>
          <w:numId w:val="1"/>
        </w:numPr>
        <w:spacing w:after="80" w:line="360"/>
      </w:pPr>
      <w:r>
        <w:rPr>
          <w:rFonts w:ascii="Inter" w:cs="Inter" w:eastAsia="Inter" w:hAnsi="Inter"/>
          <w:color w:val="4D4D4D"/>
          <w:sz w:val="22"/>
          <w:szCs w:val="22"/>
        </w:rPr>
        <w:t xml:space="preserve">Personal data requested too early, for example the RUT (Chile's national ID number) just to simulate a loan (SERNAC, p. 18).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Try to complete the task without an account. If a window appears, look for a way to close it without signing up. Ask what data each step actually needs.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Forced continuity or hidden subscription (</w:t>
      </w:r>
      <w:r>
        <w:rPr>
          <w:rFonts w:ascii="Raleway" w:cs="Raleway" w:eastAsia="Raleway" w:hAnsi="Raleway"/>
          <w:b/>
          <w:bCs/>
          <w:i/>
          <w:iCs/>
          <w:color w:val="162B39"/>
          <w:sz w:val="24"/>
          <w:szCs w:val="24"/>
        </w:rPr>
        <w:t xml:space="preserve">forced continuity</w:t>
      </w:r>
      <w:r>
        <w:rPr>
          <w:rFonts w:ascii="Raleway" w:cs="Raleway" w:eastAsia="Raleway" w:hAnsi="Raleway"/>
          <w:b/>
          <w:bCs/>
          <w:color w:val="162B39"/>
          <w:sz w:val="24"/>
          <w:szCs w:val="24"/>
        </w:rPr>
        <w:t xml:space="preserv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A “free trial” that asks for a credit card and rejects prepaid or debit cards (SERNAC, 2021, p. 29).</w:t>
      </w:r>
    </w:p>
    <w:p>
      <w:pPr>
        <w:pStyle w:val="ListParagraph"/>
        <w:numPr>
          <w:ilvl w:val="0"/>
          <w:numId w:val="1"/>
        </w:numPr>
        <w:spacing w:after="80" w:line="360"/>
      </w:pPr>
      <w:r>
        <w:rPr>
          <w:rFonts w:ascii="Inter" w:cs="Inter" w:eastAsia="Inter" w:hAnsi="Inter"/>
          <w:color w:val="4D4D4D"/>
          <w:sz w:val="22"/>
          <w:szCs w:val="22"/>
        </w:rPr>
        <w:t xml:space="preserve">A service that looks like a one-off payment and renews every year; the detail sits behind a “learn more” link (Mathur et al., 2019, p. 14).</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Before paying, look for three things: whether it renews, how much it will charge and when. If any of them is not visible, note it. Asking for a card is not enough to call it a dark pattern; SERNAC treats it as a signal (p. 29), but the proof is that the renewal is not disclosed.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Social engineering</w:t>
      </w:r>
    </w:p>
    <w:p>
      <w:pPr>
        <w:pStyle w:val="Heading3"/>
        <w:keepNext/>
        <w:spacing w:after="100" w:before="240"/>
      </w:pPr>
      <w:r>
        <w:rPr>
          <w:rFonts w:ascii="Raleway" w:cs="Raleway" w:eastAsia="Raleway" w:hAnsi="Raleway"/>
          <w:b/>
          <w:bCs/>
          <w:color w:val="162B39"/>
          <w:sz w:val="24"/>
          <w:szCs w:val="24"/>
        </w:rPr>
        <w:t xml:space="preserve">Countdown timer</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A clock in hours, minutes and seconds next to the price or in a banner, with labels such as “Oferta al límite” (offer at its limit) or “Oferta imperdible” (unmissable offer) (SERNAC, 2021, pp. 19–20).</w:t>
      </w:r>
    </w:p>
    <w:p>
      <w:pPr>
        <w:spacing w:after="160" w:line="360"/>
      </w:pPr>
      <w:r>
        <w:rPr>
          <w:rFonts w:ascii="Inter" w:cs="Inter" w:eastAsia="Inter" w:hAnsi="Inter"/>
          <w:b/>
          <w:bCs/>
          <w:color w:val="162B39"/>
          <w:sz w:val="22"/>
          <w:szCs w:val="22"/>
        </w:rPr>
        <w:t xml:space="preserve">How to prove it deceives.</w:t>
      </w:r>
      <w:r>
        <w:rPr>
          <w:rFonts w:ascii="Inter" w:cs="Inter" w:eastAsia="Inter" w:hAnsi="Inter"/>
          <w:color w:val="4D4D4D"/>
          <w:sz w:val="22"/>
          <w:szCs w:val="22"/>
        </w:rPr>
        <w:t xml:space="preserve"> Note the time the clock reaches zero and come back afterwards, and again the next day. It is deceptive if it </w:t>
      </w:r>
      <w:r>
        <w:rPr>
          <w:rFonts w:ascii="Inter" w:cs="Inter" w:eastAsia="Inter" w:hAnsi="Inter"/>
          <w:b/>
          <w:bCs/>
          <w:color w:val="162B39"/>
          <w:sz w:val="22"/>
          <w:szCs w:val="22"/>
        </w:rPr>
        <w:t xml:space="preserve">resets with the same offer</w:t>
      </w:r>
      <w:r>
        <w:rPr>
          <w:rFonts w:ascii="Inter" w:cs="Inter" w:eastAsia="Inter" w:hAnsi="Inter"/>
          <w:color w:val="4D4D4D"/>
          <w:sz w:val="22"/>
          <w:szCs w:val="22"/>
        </w:rPr>
        <w:t xml:space="preserve"> or if </w:t>
      </w:r>
      <w:r>
        <w:rPr>
          <w:rFonts w:ascii="Inter" w:cs="Inter" w:eastAsia="Inter" w:hAnsi="Inter"/>
          <w:b/>
          <w:bCs/>
          <w:color w:val="162B39"/>
          <w:sz w:val="22"/>
          <w:szCs w:val="22"/>
        </w:rPr>
        <w:t xml:space="preserve">the offer is still available</w:t>
      </w:r>
      <w:r>
        <w:rPr>
          <w:rFonts w:ascii="Inter" w:cs="Inter" w:eastAsia="Inter" w:hAnsi="Inter"/>
          <w:color w:val="4D4D4D"/>
          <w:sz w:val="22"/>
          <w:szCs w:val="22"/>
        </w:rPr>
        <w:t xml:space="preserve"> after it expired (Mathur et al., 2019, p. 15).</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Limited-time message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“Sale ends soon”, with no date or time (Mathur et al., 2019, pp. 15–16).</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Look for the end date in the fine print, in the promotion's conditions and on the terms page. Mathur et al. only counted it when it was in none of those places (pp. 15–16).</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«Por tiempo limitado» (for a limited time), «Sólo por hoy» (today only).</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Low-stock message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“Últimas unidades” (last units), the message SERNAC saw most often (p. 19).</w:t>
      </w:r>
    </w:p>
    <w:p>
      <w:pPr>
        <w:pStyle w:val="ListParagraph"/>
        <w:numPr>
          <w:ilvl w:val="0"/>
          <w:numId w:val="1"/>
        </w:numPr>
        <w:spacing w:after="80" w:line="360"/>
      </w:pPr>
      <w:r>
        <w:rPr>
          <w:rFonts w:ascii="Inter" w:cs="Inter" w:eastAsia="Inter" w:hAnsi="Inter"/>
          <w:color w:val="4D4D4D"/>
          <w:sz w:val="22"/>
          <w:szCs w:val="22"/>
        </w:rPr>
        <w:t xml:space="preserve">“Solo quedan 2 habitaciones a este precio” (only 2 rooms left at this price) (SERNAC, p. 20).</w:t>
      </w:r>
    </w:p>
    <w:p>
      <w:pPr>
        <w:pStyle w:val="ListParagraph"/>
        <w:numPr>
          <w:ilvl w:val="0"/>
          <w:numId w:val="1"/>
        </w:numPr>
        <w:spacing w:after="80" w:line="360"/>
      </w:pPr>
      <w:r>
        <w:rPr>
          <w:rFonts w:ascii="Inter" w:cs="Inter" w:eastAsia="Inter" w:hAnsi="Inter"/>
          <w:color w:val="4D4D4D"/>
          <w:sz w:val="22"/>
          <w:szCs w:val="22"/>
        </w:rPr>
        <w:t xml:space="preserve">“Limited quantities” with no number (Mathur et al., 2019, p. 20).</w:t>
      </w:r>
    </w:p>
    <w:p>
      <w:pPr>
        <w:spacing w:after="160" w:line="360"/>
      </w:pPr>
      <w:r>
        <w:rPr>
          <w:rFonts w:ascii="Inter" w:cs="Inter" w:eastAsia="Inter" w:hAnsi="Inter"/>
          <w:b/>
          <w:bCs/>
          <w:color w:val="162B39"/>
          <w:sz w:val="22"/>
          <w:szCs w:val="22"/>
        </w:rPr>
        <w:t xml:space="preserve">How to prove it deceives.</w:t>
      </w:r>
      <w:r>
        <w:rPr>
          <w:rFonts w:ascii="Inter" w:cs="Inter" w:eastAsia="Inter" w:hAnsi="Inter"/>
          <w:color w:val="4D4D4D"/>
          <w:sz w:val="22"/>
          <w:szCs w:val="22"/>
        </w:rPr>
        <w:t xml:space="preserve"> Come back several times over a few days and note the number. It is suspicious if it drops on a fixed schedule, changes when you reload the page, or the message appears on almost every product (Mathur et al., p. 20).</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«Últimas unidades» (last units), «Stock limitado» (limited stock), «Quedan [número] unidades» ([number] units left), «Solo quedan [número]» (only [number] left), «Hasta agotar stock» (while stocks last), «Edición limitada» (limited edition).</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High-demand message</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“Items in your cart are in high demand” (Mathur et al., 2019, p. 20).</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Check whether the message changes with the product. Mathur et al. found that 38 of 47 appeared the same whatever the product or the cart contents (p. 21).</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«Alta demanda» (high demand).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Activity messages</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Pop-ups such as “Alguien de [district] comenzó a comprar [product] hace 3 minutos” (someone from [district] started buying [product] 3 minutes ago) (SERNAC, 2021, p. 23).</w:t>
      </w:r>
    </w:p>
    <w:p>
      <w:pPr>
        <w:pStyle w:val="ListParagraph"/>
        <w:numPr>
          <w:ilvl w:val="0"/>
          <w:numId w:val="1"/>
        </w:numPr>
        <w:spacing w:after="80" w:line="360"/>
      </w:pPr>
      <w:r>
        <w:rPr>
          <w:rFonts w:ascii="Inter" w:cs="Inter" w:eastAsia="Inter" w:hAnsi="Inter"/>
          <w:color w:val="4D4D4D"/>
          <w:sz w:val="22"/>
          <w:szCs w:val="22"/>
        </w:rPr>
        <w:t xml:space="preserve">“¡Apúrate! 2 personas están a punto de comprar este producto” (hurry! 2 people are about to buy this product), repeated across many products (SERNAC, p. 23).</w:t>
      </w:r>
    </w:p>
    <w:p>
      <w:pPr>
        <w:pStyle w:val="ListParagraph"/>
        <w:numPr>
          <w:ilvl w:val="0"/>
          <w:numId w:val="1"/>
        </w:numPr>
        <w:spacing w:after="80" w:line="360"/>
      </w:pPr>
      <w:r>
        <w:rPr>
          <w:rFonts w:ascii="Inter" w:cs="Inter" w:eastAsia="Inter" w:hAnsi="Inter"/>
          <w:color w:val="4D4D4D"/>
          <w:sz w:val="22"/>
          <w:szCs w:val="22"/>
        </w:rPr>
        <w:t xml:space="preserve">“35 people added this item to cart”, “90 people have viewed this product” (Mathur et al., 2019, p. 18).</w:t>
      </w:r>
    </w:p>
    <w:p>
      <w:pPr>
        <w:spacing w:after="160" w:line="360"/>
      </w:pPr>
      <w:r>
        <w:rPr>
          <w:rFonts w:ascii="Inter" w:cs="Inter" w:eastAsia="Inter" w:hAnsi="Inter"/>
          <w:b/>
          <w:bCs/>
          <w:color w:val="162B39"/>
          <w:sz w:val="22"/>
          <w:szCs w:val="22"/>
        </w:rPr>
        <w:t xml:space="preserve">How to prove it deceives.</w:t>
      </w:r>
      <w:r>
        <w:rPr>
          <w:rFonts w:ascii="Inter" w:cs="Inter" w:eastAsia="Inter" w:hAnsi="Inter"/>
          <w:color w:val="4D4D4D"/>
          <w:sz w:val="22"/>
          <w:szCs w:val="22"/>
        </w:rPr>
        <w:t xml:space="preserve"> Look at the page source: Mathur et al. found numbers generated at random and messages hard-coded so that they never changed (pp. 18–19). Also check which script draws the message: many come from third-party providers, and some openly advertised fake orders (pp. 22–24).</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«Viendo» (viewing), «Viendo esto» (viewing this), «[número] vendidos» ([number] sold), «Compró» (bought), «Alguien en» (someone in), «Interesado» (interested).</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Testimonials of uncertain origin</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Only positive testimonials, or only top ratings, with no way of knowing how many customers they represent (SERNAC, 2021, p. 21).</w:t>
      </w:r>
    </w:p>
    <w:p>
      <w:pPr>
        <w:pStyle w:val="ListParagraph"/>
        <w:numPr>
          <w:ilvl w:val="0"/>
          <w:numId w:val="1"/>
        </w:numPr>
        <w:spacing w:after="80" w:line="360"/>
      </w:pPr>
      <w:r>
        <w:rPr>
          <w:rFonts w:ascii="Inter" w:cs="Inter" w:eastAsia="Inter" w:hAnsi="Inter"/>
          <w:color w:val="4D4D4D"/>
          <w:sz w:val="22"/>
          <w:szCs w:val="22"/>
        </w:rPr>
        <w:t xml:space="preserve">High ratings without the number of reviews behind them (Chen et al., 2026, p. 8).</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Two tests from Mathur et al. (p. 19): see whether the site has a form for submitting testimonials, and search Google for the exact text of one. They found the same testimonials on another site under different names.</w:t>
      </w:r>
    </w:p>
    <w:p>
      <w:pPr>
        <w:spacing w:after="160" w:line="360"/>
      </w:pPr>
      <w:r>
        <w:rPr>
          <w:rFonts w:ascii="Inter" w:cs="Inter" w:eastAsia="Inter" w:hAnsi="Inter"/>
          <w:b/>
          <w:bCs/>
          <w:color w:val="162B39"/>
          <w:sz w:val="22"/>
          <w:szCs w:val="22"/>
        </w:rPr>
        <w:t xml:space="preserve">Phrases to look for (Spanish):</w:t>
      </w:r>
      <w:r>
        <w:rPr>
          <w:rFonts w:ascii="Inter" w:cs="Inter" w:eastAsia="Inter" w:hAnsi="Inter"/>
          <w:color w:val="4D4D4D"/>
          <w:sz w:val="22"/>
          <w:szCs w:val="22"/>
        </w:rPr>
        <w:t xml:space="preserve"> «Nuestros clientes dicen» (our customers say), «Excelente servicio» (excellent service), «Excelente producto» (excellent product), «Excelente calidad» (excellent quality), «Muy buena calidad» (very good quality), «Es perfecto» (it's perfect), «Fabuloso» (fabulous).</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3"/>
        <w:keepNext/>
        <w:spacing w:after="100" w:before="240"/>
      </w:pPr>
      <w:r>
        <w:rPr>
          <w:rFonts w:ascii="Raleway" w:cs="Raleway" w:eastAsia="Raleway" w:hAnsi="Raleway"/>
          <w:b/>
          <w:bCs/>
          <w:color w:val="162B39"/>
          <w:sz w:val="24"/>
          <w:szCs w:val="24"/>
        </w:rPr>
        <w:t xml:space="preserve">Confirmshaming</w:t>
      </w:r>
    </w:p>
    <w:p>
      <w:pPr>
        <w:spacing w:after="160" w:line="360"/>
      </w:pPr>
      <w:r>
        <w:rPr>
          <w:rFonts w:ascii="Inter" w:cs="Inter" w:eastAsia="Inter" w:hAnsi="Inter"/>
          <w:b/>
          <w:bCs/>
          <w:color w:val="162B39"/>
          <w:sz w:val="22"/>
          <w:szCs w:val="22"/>
        </w:rPr>
        <w:t xml:space="preserve">What to look for</w:t>
      </w:r>
    </w:p>
    <w:p>
      <w:pPr>
        <w:pStyle w:val="ListParagraph"/>
        <w:numPr>
          <w:ilvl w:val="0"/>
          <w:numId w:val="1"/>
        </w:numPr>
        <w:spacing w:after="80" w:line="360"/>
      </w:pPr>
      <w:r>
        <w:rPr>
          <w:rFonts w:ascii="Inter" w:cs="Inter" w:eastAsia="Inter" w:hAnsi="Inter"/>
          <w:color w:val="4D4D4D"/>
          <w:sz w:val="22"/>
          <w:szCs w:val="22"/>
        </w:rPr>
        <w:t xml:space="preserve">“No thanks, I like paying full price”, mostly in pop-ups offering a discount in exchange for an email address (Mathur et al., 2019, p. 16).</w:t>
      </w:r>
    </w:p>
    <w:p>
      <w:pPr>
        <w:pStyle w:val="ListParagraph"/>
        <w:numPr>
          <w:ilvl w:val="0"/>
          <w:numId w:val="1"/>
        </w:numPr>
        <w:spacing w:after="80" w:line="360"/>
      </w:pPr>
      <w:r>
        <w:rPr>
          <w:rFonts w:ascii="Inter" w:cs="Inter" w:eastAsia="Inter" w:hAnsi="Inter"/>
          <w:color w:val="4D4D4D"/>
          <w:sz w:val="22"/>
          <w:szCs w:val="22"/>
        </w:rPr>
        <w:t xml:space="preserve">When removing optional insurance: “¡No quedes sin protección!” (don't go unprotected!), with “Mantener mis seguros” (keep my insurance) highlighted (SERNAC, 2021, p. 22). SERNAC classified it as visual interference; it has the form of confirmshaming and often comes with a false visual hierarchy.</w:t>
      </w:r>
    </w:p>
    <w:p>
      <w:pPr>
        <w:spacing w:after="160" w:line="360"/>
      </w:pPr>
      <w:r>
        <w:rPr>
          <w:rFonts w:ascii="Inter" w:cs="Inter" w:eastAsia="Inter" w:hAnsi="Inter"/>
          <w:b/>
          <w:bCs/>
          <w:color w:val="162B39"/>
          <w:sz w:val="22"/>
          <w:szCs w:val="22"/>
        </w:rPr>
        <w:t xml:space="preserve">How to check.</w:t>
      </w:r>
      <w:r>
        <w:rPr>
          <w:rFonts w:ascii="Inter" w:cs="Inter" w:eastAsia="Inter" w:hAnsi="Inter"/>
          <w:color w:val="4D4D4D"/>
          <w:sz w:val="22"/>
          <w:szCs w:val="22"/>
        </w:rPr>
        <w:t xml:space="preserve"> Read the decline option without looking at the other one. If it describes the person (“I like paying more”) rather than the action (“no, thanks”), it is confirmshaming. This one needs no proof of deception: you can see it.</w:t>
      </w:r>
    </w:p>
    <w:tbl>
      <w:tblPr>
        <w:tblW w:type="dxa" w:w="931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30"/>
        <w:gridCol w:w="6784"/>
      </w:tblGrid>
      <w:tr>
        <w:trPr>
          <w:tblHeader/>
        </w:trPr>
        <w:tc>
          <w:tcPr>
            <w:tcW w:type="dxa" w:w="2530"/>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r>
              <w:rPr>
                <w:rFonts w:ascii="Inter" w:cs="Inter" w:eastAsia="Inter" w:hAnsi="Inter"/>
                <w:b/>
                <w:bCs/>
                <w:color w:val="FFFFFF"/>
                <w:sz w:val="20"/>
                <w:szCs w:val="20"/>
              </w:rPr>
              <w:t xml:space="preserve">Record</w:t>
            </w:r>
          </w:p>
        </w:tc>
        <w:tc>
          <w:tcPr>
            <w:tcW w:type="dxa" w:w="6784"/>
            <w:tcBorders>
              <w:top w:val="single" w:color="E0E0E0" w:sz="4"/>
              <w:left w:val="single" w:color="E0E0E0" w:sz="4"/>
              <w:bottom w:val="single" w:color="E0E0E0" w:sz="4"/>
              <w:right w:val="single" w:color="E0E0E0" w:sz="4"/>
            </w:tcBorders>
            <w:shd w:fill="1D3648" w:color="auto" w:val="clear"/>
            <w:tcMar>
              <w:top w:type="dxa" w:w="80"/>
              <w:left w:type="dxa" w:w="120"/>
              <w:bottom w:type="dxa" w:w="80"/>
              <w:right w:type="dxa" w:w="120"/>
            </w:tcMar>
          </w:tcPr>
          <w:p>
            <w:pPr>
              <w:spacing w:after="0" w:line="240"/>
              <w:jc w:val="left"/>
            </w:pP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Present? (yes / no / grey)</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Where (URL or screen)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Evidence (screenshot, page source, date)</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Proven to deceive? (how and when)</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r>
        <w:trPr>
          <w:tblHeader w:val="false"/>
        </w:trPr>
        <w:tc>
          <w:tcPr>
            <w:tcW w:type="dxa" w:w="2530"/>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Notes</w:t>
            </w:r>
          </w:p>
        </w:tc>
        <w:tc>
          <w:tcPr>
            <w:tcW w:type="dxa" w:w="6784"/>
            <w:tcBorders>
              <w:top w:val="single" w:color="E0E0E0" w:sz="4"/>
              <w:left w:val="single" w:color="E0E0E0" w:sz="4"/>
              <w:bottom w:val="single" w:color="E0E0E0" w:sz="4"/>
              <w:right w:val="single" w:color="E0E0E0" w:sz="4"/>
            </w:tcBorders>
            <w:tcMar>
              <w:top w:type="dxa" w:w="80"/>
              <w:left w:type="dxa" w:w="120"/>
              <w:bottom w:type="dxa" w:w="80"/>
              <w:right w:type="dxa" w:w="120"/>
            </w:tcMar>
          </w:tcPr>
          <w:p>
            <w:pPr>
              <w:spacing w:after="0" w:line="240"/>
              <w:jc w:val="left"/>
            </w:pPr>
            <w:r>
              <w:rPr>
                <w:rFonts w:ascii="Inter" w:cs="Inter" w:eastAsia="Inter" w:hAnsi="Inter"/>
                <w:b w:val="false"/>
                <w:bCs w:val="false"/>
                <w:color w:val="4D4D4D"/>
                <w:sz w:val="20"/>
                <w:szCs w:val="20"/>
              </w:rPr>
              <w:t xml:space="preserve">                                                                                                    </w:t>
            </w:r>
          </w:p>
        </w:tc>
      </w:tr>
    </w:tbl>
    <w:p>
      <w:pPr>
        <w:spacing w:after="160"/>
      </w:pPr>
    </w:p>
    <w:p>
      <w:pPr>
        <w:pStyle w:val="Heading2"/>
        <w:keepNext/>
        <w:spacing w:after="120" w:before="320"/>
      </w:pPr>
      <w:r>
        <w:rPr>
          <w:rFonts w:ascii="Raleway" w:cs="Raleway" w:eastAsia="Raleway" w:hAnsi="Raleway"/>
          <w:b/>
          <w:bCs/>
          <w:color w:val="1D3648"/>
          <w:sz w:val="32"/>
          <w:szCs w:val="32"/>
        </w:rPr>
        <w:t xml:space="preserve">Sources</w:t>
      </w:r>
    </w:p>
    <w:p>
      <w:pPr>
        <w:pStyle w:val="ListParagraph"/>
        <w:numPr>
          <w:ilvl w:val="0"/>
          <w:numId w:val="1"/>
        </w:numPr>
        <w:spacing w:after="80" w:line="360"/>
      </w:pPr>
      <w:r>
        <w:rPr>
          <w:rFonts w:ascii="Inter" w:cs="Inter" w:eastAsia="Inter" w:hAnsi="Inter"/>
          <w:color w:val="4D4D4D"/>
          <w:sz w:val="22"/>
          <w:szCs w:val="22"/>
        </w:rPr>
        <w:t xml:space="preserve">Gray, C. M., Santos, C. T., Bielova, N., and Mildner, T. (2024). An Ontology of Dark Patterns Knowledge: Foundations, Definitions, and a Pathway for Shared Knowledge-Building. In </w:t>
      </w:r>
      <w:r>
        <w:rPr>
          <w:rFonts w:ascii="Inter" w:cs="Inter" w:eastAsia="Inter" w:hAnsi="Inter"/>
          <w:i/>
          <w:iCs/>
          <w:color w:val="4D4D4D"/>
          <w:sz w:val="22"/>
          <w:szCs w:val="22"/>
        </w:rPr>
        <w:t xml:space="preserve">Proceedings of the CHI Conference on Human Factors in Computing Systems (CHI '24)</w:t>
      </w:r>
      <w:r>
        <w:rPr>
          <w:rFonts w:ascii="Inter" w:cs="Inter" w:eastAsia="Inter" w:hAnsi="Inter"/>
          <w:color w:val="4D4D4D"/>
          <w:sz w:val="22"/>
          <w:szCs w:val="22"/>
        </w:rPr>
        <w:t xml:space="preserve">. ACM. </w:t>
      </w:r>
      <w:hyperlink w:history="1" r:id="rIdqindr87-jxzfkvwkw6oja">
        <w:r>
          <w:rPr>
            <w:rFonts w:ascii="Inter" w:cs="Inter" w:eastAsia="Inter" w:hAnsi="Inter"/>
            <w:color w:val="AA5144"/>
            <w:sz w:val="22"/>
            <w:szCs w:val="22"/>
            <w:u w:val="single"/>
          </w:rPr>
          <w:t xml:space="preserve">https://doi.org/10.1145/3613904.3642436</w:t>
        </w:r>
      </w:hyperlink>
    </w:p>
    <w:p>
      <w:pPr>
        <w:pStyle w:val="ListParagraph"/>
        <w:numPr>
          <w:ilvl w:val="0"/>
          <w:numId w:val="1"/>
        </w:numPr>
        <w:spacing w:after="80" w:line="360"/>
      </w:pPr>
      <w:r>
        <w:rPr>
          <w:rFonts w:ascii="Inter" w:cs="Inter" w:eastAsia="Inter" w:hAnsi="Inter"/>
          <w:color w:val="4D4D4D"/>
          <w:sz w:val="22"/>
          <w:szCs w:val="22"/>
        </w:rPr>
        <w:t xml:space="preserve">Mathur, A., Acar, G., Friedman, M. J., Lucherini, E., Mayer, J., Chetty, M., and Narayanan, A. (2019). Dark Patterns at Scale: Findings from a Crawl of 11K Shopping Websites. </w:t>
      </w:r>
      <w:r>
        <w:rPr>
          <w:rFonts w:ascii="Inter" w:cs="Inter" w:eastAsia="Inter" w:hAnsi="Inter"/>
          <w:i/>
          <w:iCs/>
          <w:color w:val="4D4D4D"/>
          <w:sz w:val="22"/>
          <w:szCs w:val="22"/>
        </w:rPr>
        <w:t xml:space="preserve">Proceedings of the ACM on Human-Computer Interaction, 3</w:t>
      </w:r>
      <w:r>
        <w:rPr>
          <w:rFonts w:ascii="Inter" w:cs="Inter" w:eastAsia="Inter" w:hAnsi="Inter"/>
          <w:color w:val="4D4D4D"/>
          <w:sz w:val="22"/>
          <w:szCs w:val="22"/>
        </w:rPr>
        <w:t xml:space="preserve">(CSCW), article 81. </w:t>
      </w:r>
      <w:hyperlink w:history="1" r:id="rIdiv2scjonmvvna9paibvjf">
        <w:r>
          <w:rPr>
            <w:rFonts w:ascii="Inter" w:cs="Inter" w:eastAsia="Inter" w:hAnsi="Inter"/>
            <w:color w:val="AA5144"/>
            <w:sz w:val="22"/>
            <w:szCs w:val="22"/>
            <w:u w:val="single"/>
          </w:rPr>
          <w:t xml:space="preserve">https://doi.org/10.1145/3359183</w:t>
        </w:r>
      </w:hyperlink>
    </w:p>
    <w:p>
      <w:pPr>
        <w:pStyle w:val="ListParagraph"/>
        <w:numPr>
          <w:ilvl w:val="0"/>
          <w:numId w:val="1"/>
        </w:numPr>
        <w:spacing w:after="80" w:line="360"/>
      </w:pPr>
      <w:r>
        <w:rPr>
          <w:rFonts w:ascii="Inter" w:cs="Inter" w:eastAsia="Inter" w:hAnsi="Inter"/>
          <w:color w:val="4D4D4D"/>
          <w:sz w:val="22"/>
          <w:szCs w:val="22"/>
        </w:rPr>
        <w:t xml:space="preserve">Chen, Z., Shen, J., Luna, Zhang, H., and Vaccaro, K. (2026). Deception at Scale: Deceptive Designs in 1K LLM-Generated Ecommerce Components. In </w:t>
      </w:r>
      <w:r>
        <w:rPr>
          <w:rFonts w:ascii="Inter" w:cs="Inter" w:eastAsia="Inter" w:hAnsi="Inter"/>
          <w:i/>
          <w:iCs/>
          <w:color w:val="4D4D4D"/>
          <w:sz w:val="22"/>
          <w:szCs w:val="22"/>
        </w:rPr>
        <w:t xml:space="preserve">Proceedings of the CHI Conference on Human Factors in Computing Systems (CHI '26)</w:t>
      </w:r>
      <w:r>
        <w:rPr>
          <w:rFonts w:ascii="Inter" w:cs="Inter" w:eastAsia="Inter" w:hAnsi="Inter"/>
          <w:color w:val="4D4D4D"/>
          <w:sz w:val="22"/>
          <w:szCs w:val="22"/>
        </w:rPr>
        <w:t xml:space="preserve">. ACM. </w:t>
      </w:r>
      <w:hyperlink w:history="1" r:id="rIdg5de5db-dqusfgls8rl5b">
        <w:r>
          <w:rPr>
            <w:rFonts w:ascii="Inter" w:cs="Inter" w:eastAsia="Inter" w:hAnsi="Inter"/>
            <w:color w:val="AA5144"/>
            <w:sz w:val="22"/>
            <w:szCs w:val="22"/>
            <w:u w:val="single"/>
          </w:rPr>
          <w:t xml:space="preserve">https://doi.org/10.1145/3772318.3791063</w:t>
        </w:r>
      </w:hyperlink>
    </w:p>
    <w:p>
      <w:pPr>
        <w:pStyle w:val="ListParagraph"/>
        <w:numPr>
          <w:ilvl w:val="0"/>
          <w:numId w:val="1"/>
        </w:numPr>
        <w:spacing w:after="80" w:line="360"/>
      </w:pPr>
      <w:r>
        <w:rPr>
          <w:rFonts w:ascii="Inter" w:cs="Inter" w:eastAsia="Inter" w:hAnsi="Inter"/>
          <w:color w:val="4D4D4D"/>
          <w:sz w:val="22"/>
          <w:szCs w:val="22"/>
        </w:rPr>
        <w:t xml:space="preserve">SERNAC (2021). </w:t>
      </w:r>
      <w:r>
        <w:rPr>
          <w:rFonts w:ascii="Inter" w:cs="Inter" w:eastAsia="Inter" w:hAnsi="Inter"/>
          <w:i/>
          <w:iCs/>
          <w:color w:val="4D4D4D"/>
          <w:sz w:val="22"/>
          <w:szCs w:val="22"/>
        </w:rPr>
        <w:t xml:space="preserve">Informe de Resultados de Levantamiento de Dark Patterns en Comercio Electrónico</w:t>
      </w:r>
      <w:r>
        <w:rPr>
          <w:rFonts w:ascii="Inter" w:cs="Inter" w:eastAsia="Inter" w:hAnsi="Inter"/>
          <w:color w:val="4D4D4D"/>
          <w:sz w:val="22"/>
          <w:szCs w:val="22"/>
        </w:rPr>
        <w:t xml:space="preserve"> [Results of the dark patterns survey in e-commerce] (version 1.2). Servicio Nacional del Consumidor, Chile's national consumer protection agency. </w:t>
      </w:r>
      <w:hyperlink w:history="1" r:id="rIddwrjkwygwxa7e3ygnhvu_">
        <w:r>
          <w:rPr>
            <w:rFonts w:ascii="Inter" w:cs="Inter" w:eastAsia="Inter" w:hAnsi="Inter"/>
            <w:color w:val="AA5144"/>
            <w:sz w:val="22"/>
            <w:szCs w:val="22"/>
            <w:u w:val="single"/>
          </w:rPr>
          <w:t xml:space="preserve">https://www.sernac.cl/portal/619/articles-62983_archivo_01.pdf</w:t>
        </w:r>
      </w:hyperlink>
    </w:p>
    <w:p>
      <w:pPr>
        <w:pStyle w:val="ListParagraph"/>
        <w:numPr>
          <w:ilvl w:val="0"/>
          <w:numId w:val="1"/>
        </w:numPr>
        <w:spacing w:after="80" w:line="360"/>
      </w:pPr>
      <w:r>
        <w:rPr>
          <w:rFonts w:ascii="Inter" w:cs="Inter" w:eastAsia="Inter" w:hAnsi="Inter"/>
          <w:color w:val="4D4D4D"/>
          <w:sz w:val="22"/>
          <w:szCs w:val="22"/>
        </w:rPr>
        <w:t xml:space="preserve">SERNAC (2022). </w:t>
      </w:r>
      <w:r>
        <w:rPr>
          <w:rFonts w:ascii="Inter" w:cs="Inter" w:eastAsia="Inter" w:hAnsi="Inter"/>
          <w:i/>
          <w:iCs/>
          <w:color w:val="4D4D4D"/>
          <w:sz w:val="22"/>
          <w:szCs w:val="22"/>
        </w:rPr>
        <w:t xml:space="preserve">Informe: Detección de Dark Patterns por Webscraping</w:t>
      </w:r>
      <w:r>
        <w:rPr>
          <w:rFonts w:ascii="Inter" w:cs="Inter" w:eastAsia="Inter" w:hAnsi="Inter"/>
          <w:color w:val="4D4D4D"/>
          <w:sz w:val="22"/>
          <w:szCs w:val="22"/>
        </w:rPr>
        <w:t xml:space="preserve"> [Detecting dark patterns through web scraping] (version 0.7, marked “No Vigente”, not in force). Servicio Nacional del Consumidor, Chile. </w:t>
      </w:r>
      <w:hyperlink w:history="1" r:id="rIdzkbe3anyki2sab0vetsiv">
        <w:r>
          <w:rPr>
            <w:rFonts w:ascii="Inter" w:cs="Inter" w:eastAsia="Inter" w:hAnsi="Inter"/>
            <w:color w:val="AA5144"/>
            <w:sz w:val="22"/>
            <w:szCs w:val="22"/>
            <w:u w:val="single"/>
          </w:rPr>
          <w:t xml:space="preserve">https://www.sernac.cl/portal/619/articles-81901_archivo_01.pdf</w:t>
        </w:r>
      </w:hyperlink>
    </w:p>
    <w:p>
      <w:pPr>
        <w:pBdr>
          <w:bottom w:val="single" w:color="E0E0E0" w:sz="6"/>
        </w:pBdr>
        <w:spacing w:after="200" w:before="200"/>
      </w:pPr>
    </w:p>
    <w:p>
      <w:pPr>
        <w:pStyle w:val="Heading2"/>
        <w:keepNext/>
        <w:spacing w:after="120" w:before="320"/>
      </w:pPr>
      <w:r>
        <w:rPr>
          <w:rFonts w:ascii="Raleway" w:cs="Raleway" w:eastAsia="Raleway" w:hAnsi="Raleway"/>
          <w:b/>
          <w:bCs/>
          <w:color w:val="1D3648"/>
          <w:sz w:val="32"/>
          <w:szCs w:val="32"/>
        </w:rPr>
        <w:t xml:space="preserve">License and attribution</w:t>
      </w:r>
    </w:p>
    <w:p>
      <w:pPr>
        <w:spacing w:after="160" w:line="360"/>
      </w:pPr>
      <w:r>
        <w:rPr>
          <w:rFonts w:ascii="Inter" w:cs="Inter" w:eastAsia="Inter" w:hAnsi="Inter"/>
          <w:color w:val="4D4D4D"/>
          <w:sz w:val="22"/>
          <w:szCs w:val="22"/>
        </w:rPr>
        <w:t xml:space="preserve">Sheet by UXR SpA · Paulina Contreras</w:t>
      </w:r>
    </w:p>
    <w:p>
      <w:pPr>
        <w:spacing w:after="160" w:line="360"/>
      </w:pPr>
      <w:r>
        <w:rPr>
          <w:rFonts w:ascii="Inter" w:cs="Inter" w:eastAsia="Inter" w:hAnsi="Inter"/>
          <w:color w:val="4D4D4D"/>
          <w:sz w:val="22"/>
          <w:szCs w:val="22"/>
        </w:rPr>
        <w:t xml:space="preserve">Published under Creative Commons Attribution 4.0 International (CC BY 4.0):
</w:t>
      </w:r>
      <w:hyperlink w:history="1" r:id="rIdls_7s6zv7f2yx6gl5_6su">
        <w:r>
          <w:rPr>
            <w:rFonts w:ascii="Inter" w:cs="Inter" w:eastAsia="Inter" w:hAnsi="Inter"/>
            <w:color w:val="AA5144"/>
            <w:sz w:val="22"/>
            <w:szCs w:val="22"/>
            <w:u w:val="single"/>
          </w:rPr>
          <w:t xml:space="preserve">https://creativecommons.org/licenses/by/4.0/</w:t>
        </w:r>
      </w:hyperlink>
    </w:p>
    <w:p>
      <w:pPr>
        <w:spacing w:after="160" w:line="360"/>
      </w:pPr>
      <w:r>
        <w:rPr>
          <w:rFonts w:ascii="Inter" w:cs="Inter" w:eastAsia="Inter" w:hAnsi="Inter"/>
          <w:color w:val="4D4D4D"/>
          <w:sz w:val="22"/>
          <w:szCs w:val="22"/>
        </w:rPr>
        <w:t xml:space="preserve">You may use it, adapt it and use it in paid work, including commercially, as
long as you credit the authorship and link to uxr.cl. The findings you record
in it are yours.</w:t>
      </w:r>
    </w:p>
    <w:p>
      <w:pPr>
        <w:spacing w:after="160" w:line="360"/>
      </w:pPr>
      <w:r>
        <w:rPr>
          <w:rFonts w:ascii="Inter" w:cs="Inter" w:eastAsia="Inter" w:hAnsi="Inter"/>
          <w:color w:val="4D4D4D"/>
          <w:sz w:val="22"/>
          <w:szCs w:val="22"/>
        </w:rPr>
        <w:t xml:space="preserve">Original: </w:t>
      </w:r>
      <w:hyperlink w:history="1" r:id="rIdkqqtgzwj0th3rhvewgylr">
        <w:r>
          <w:rPr>
            <w:rFonts w:ascii="Inter" w:cs="Inter" w:eastAsia="Inter" w:hAnsi="Inter"/>
            <w:color w:val="AA5144"/>
            <w:sz w:val="22"/>
            <w:szCs w:val="22"/>
            <w:u w:val="single"/>
          </w:rPr>
          <w:t xml:space="preserve">https://uxr.cl/en/learn/dark-patterns/</w:t>
        </w:r>
      </w:hyperlink>
    </w:p>
    <w:sectPr>
      <w:pgSz w:w="11906" w:h="16838" w:orient="portrait"/>
      <w:pgMar w:top="1296" w:right="1296" w:bottom="1296" w:left="1296"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4D4D4D"/>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wd20i5whw1cdfftre6lu" Type="http://schemas.openxmlformats.org/officeDocument/2006/relationships/hyperlink" Target="https://uxr.cl/en/learn/dark-patterns/" TargetMode="External"/><Relationship Id="rIdqindr87-jxzfkvwkw6oja" Type="http://schemas.openxmlformats.org/officeDocument/2006/relationships/hyperlink" Target="https://doi.org/10.1145/3613904.3642436" TargetMode="External"/><Relationship Id="rIdiv2scjonmvvna9paibvjf" Type="http://schemas.openxmlformats.org/officeDocument/2006/relationships/hyperlink" Target="https://doi.org/10.1145/3359183" TargetMode="External"/><Relationship Id="rIdg5de5db-dqusfgls8rl5b" Type="http://schemas.openxmlformats.org/officeDocument/2006/relationships/hyperlink" Target="https://doi.org/10.1145/3772318.3791063" TargetMode="External"/><Relationship Id="rIddwrjkwygwxa7e3ygnhvu_" Type="http://schemas.openxmlformats.org/officeDocument/2006/relationships/hyperlink" Target="https://www.sernac.cl/portal/619/articles-62983_archivo_01.pdf" TargetMode="External"/><Relationship Id="rIdzkbe3anyki2sab0vetsiv" Type="http://schemas.openxmlformats.org/officeDocument/2006/relationships/hyperlink" Target="https://www.sernac.cl/portal/619/articles-81901_archivo_01.pdf" TargetMode="External"/><Relationship Id="rIdls_7s6zv7f2yx6gl5_6su" Type="http://schemas.openxmlformats.org/officeDocument/2006/relationships/hyperlink" Target="https://creativecommons.org/licenses/by/4.0/" TargetMode="External"/><Relationship Id="rIdkqqtgzwj0th3rhvewgylr" Type="http://schemas.openxmlformats.org/officeDocument/2006/relationships/hyperlink" Target="https://uxr.cl/en/learn/dark-patterns/"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2026-09-28T14:19:55.016Z</dcterms:created>
  <dcterms:modified xsi:type="dcterms:W3CDTF">2026-09-28T14:19:55.016Z</dcterms:modified>
</cp:coreProperties>
</file>

<file path=docProps/custom.xml><?xml version="1.0" encoding="utf-8"?>
<Properties xmlns="http://schemas.openxmlformats.org/officeDocument/2006/custom-properties" xmlns:vt="http://schemas.openxmlformats.org/officeDocument/2006/docPropsVTypes"/>
</file>